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773E" w:rsidRDefault="00285A20">
      <w:pPr>
        <w:pStyle w:val="normal0"/>
        <w:spacing w:before="200"/>
        <w:jc w:val="both"/>
      </w:pPr>
      <w:r>
        <w:rPr>
          <w:b/>
          <w:sz w:val="20"/>
          <w:szCs w:val="20"/>
        </w:rPr>
        <w:t>VKD:</w:t>
      </w:r>
      <w:r w:rsidR="00472F1F">
        <w:rPr>
          <w:b/>
          <w:sz w:val="20"/>
          <w:szCs w:val="20"/>
        </w:rPr>
        <w:t xml:space="preserve"> The report on using the proceeds </w:t>
      </w:r>
    </w:p>
    <w:p w:rsidR="00F6773E" w:rsidRDefault="00285A20">
      <w:pPr>
        <w:pStyle w:val="normal0"/>
        <w:spacing w:before="200"/>
        <w:jc w:val="both"/>
      </w:pPr>
      <w:r>
        <w:rPr>
          <w:sz w:val="20"/>
          <w:szCs w:val="20"/>
        </w:rPr>
        <w:t xml:space="preserve">On 30/12/2016, </w:t>
      </w:r>
      <w:proofErr w:type="spellStart"/>
      <w:r>
        <w:rPr>
          <w:sz w:val="20"/>
          <w:szCs w:val="20"/>
        </w:rPr>
        <w:t>Khanh</w:t>
      </w:r>
      <w:proofErr w:type="spellEnd"/>
      <w:r>
        <w:rPr>
          <w:sz w:val="20"/>
          <w:szCs w:val="20"/>
        </w:rPr>
        <w:t xml:space="preserve"> </w:t>
      </w:r>
      <w:proofErr w:type="spellStart"/>
      <w:r>
        <w:rPr>
          <w:sz w:val="20"/>
          <w:szCs w:val="20"/>
        </w:rPr>
        <w:t>Hoa</w:t>
      </w:r>
      <w:proofErr w:type="spellEnd"/>
      <w:r>
        <w:rPr>
          <w:sz w:val="20"/>
          <w:szCs w:val="20"/>
        </w:rPr>
        <w:t xml:space="preserve"> Mineral Water Joint Stock Company has announced information as follows:</w:t>
      </w:r>
    </w:p>
    <w:p w:rsidR="00F6773E" w:rsidRDefault="00285A20">
      <w:pPr>
        <w:pStyle w:val="normal0"/>
        <w:spacing w:before="200"/>
        <w:jc w:val="both"/>
      </w:pPr>
      <w:r>
        <w:rPr>
          <w:b/>
          <w:sz w:val="20"/>
          <w:szCs w:val="20"/>
        </w:rPr>
        <w:t>I. The public offering details:</w:t>
      </w:r>
    </w:p>
    <w:p w:rsidR="00F6773E" w:rsidRDefault="00285A20">
      <w:pPr>
        <w:pStyle w:val="normal0"/>
        <w:spacing w:before="200"/>
        <w:jc w:val="both"/>
      </w:pPr>
      <w:r>
        <w:rPr>
          <w:sz w:val="20"/>
          <w:szCs w:val="20"/>
        </w:rPr>
        <w:t xml:space="preserve">- Total </w:t>
      </w:r>
      <w:r w:rsidR="00472F1F">
        <w:rPr>
          <w:sz w:val="20"/>
          <w:szCs w:val="20"/>
        </w:rPr>
        <w:t xml:space="preserve">proceeds </w:t>
      </w:r>
      <w:r>
        <w:rPr>
          <w:sz w:val="20"/>
          <w:szCs w:val="20"/>
        </w:rPr>
        <w:t>gained from the public offering: VND 98,399,880,000</w:t>
      </w:r>
    </w:p>
    <w:p w:rsidR="00F6773E" w:rsidRDefault="00285A20">
      <w:pPr>
        <w:pStyle w:val="normal0"/>
        <w:spacing w:before="200"/>
        <w:jc w:val="both"/>
      </w:pPr>
      <w:r>
        <w:rPr>
          <w:sz w:val="20"/>
          <w:szCs w:val="20"/>
        </w:rPr>
        <w:t xml:space="preserve">- Total net </w:t>
      </w:r>
      <w:r w:rsidR="00472F1F">
        <w:rPr>
          <w:sz w:val="20"/>
          <w:szCs w:val="20"/>
        </w:rPr>
        <w:t xml:space="preserve">proceeds </w:t>
      </w:r>
      <w:r>
        <w:rPr>
          <w:sz w:val="20"/>
          <w:szCs w:val="20"/>
        </w:rPr>
        <w:t>gained from the public offering: VND 98,294,880,000</w:t>
      </w:r>
    </w:p>
    <w:p w:rsidR="00F6773E" w:rsidRDefault="00285A20">
      <w:pPr>
        <w:pStyle w:val="normal0"/>
        <w:spacing w:before="200"/>
        <w:jc w:val="both"/>
      </w:pPr>
      <w:r>
        <w:rPr>
          <w:sz w:val="20"/>
          <w:szCs w:val="20"/>
        </w:rPr>
        <w:t xml:space="preserve">Details of the report of the public offering’s result (in the attached file) have been sent to SSC, HNX, </w:t>
      </w:r>
      <w:proofErr w:type="gramStart"/>
      <w:r>
        <w:rPr>
          <w:sz w:val="20"/>
          <w:szCs w:val="20"/>
        </w:rPr>
        <w:t>CBTT</w:t>
      </w:r>
      <w:proofErr w:type="gramEnd"/>
      <w:r>
        <w:rPr>
          <w:sz w:val="20"/>
          <w:szCs w:val="20"/>
        </w:rPr>
        <w:t xml:space="preserve"> on 01/07/2016.</w:t>
      </w:r>
    </w:p>
    <w:p w:rsidR="00F6773E" w:rsidRDefault="00285A20">
      <w:pPr>
        <w:pStyle w:val="normal0"/>
        <w:spacing w:before="200"/>
        <w:jc w:val="both"/>
      </w:pPr>
      <w:r>
        <w:rPr>
          <w:b/>
          <w:sz w:val="20"/>
          <w:szCs w:val="20"/>
        </w:rPr>
        <w:t xml:space="preserve">II. </w:t>
      </w:r>
      <w:r w:rsidR="00472F1F">
        <w:rPr>
          <w:b/>
          <w:sz w:val="20"/>
          <w:szCs w:val="20"/>
        </w:rPr>
        <w:t>The e</w:t>
      </w:r>
      <w:r>
        <w:rPr>
          <w:b/>
          <w:sz w:val="20"/>
          <w:szCs w:val="20"/>
        </w:rPr>
        <w:t>stimated using plan:</w:t>
      </w:r>
      <w:r>
        <w:rPr>
          <w:sz w:val="20"/>
          <w:szCs w:val="20"/>
        </w:rPr>
        <w:t xml:space="preserve"> To invest in fixed asset and supplement circulating capital</w:t>
      </w:r>
    </w:p>
    <w:p w:rsidR="00F6773E" w:rsidRDefault="00285A20">
      <w:pPr>
        <w:pStyle w:val="normal0"/>
        <w:spacing w:before="200"/>
        <w:jc w:val="both"/>
      </w:pPr>
      <w:r>
        <w:rPr>
          <w:sz w:val="20"/>
          <w:szCs w:val="20"/>
        </w:rPr>
        <w:t>Proceeds using plan in detail:</w:t>
      </w:r>
    </w:p>
    <w:tbl>
      <w:tblPr>
        <w:tblStyle w:val="a"/>
        <w:bidiVisual/>
        <w:tblW w:w="9015" w:type="dxa"/>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Layout w:type="fixed"/>
        <w:tblLook w:val="0600"/>
      </w:tblPr>
      <w:tblGrid>
        <w:gridCol w:w="6450"/>
        <w:gridCol w:w="2565"/>
      </w:tblGrid>
      <w:tr w:rsidR="00F6773E">
        <w:tc>
          <w:tcPr>
            <w:tcW w:w="6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b/>
                <w:sz w:val="20"/>
                <w:szCs w:val="20"/>
              </w:rPr>
              <w:t>Purpose</w:t>
            </w:r>
          </w:p>
        </w:tc>
        <w:tc>
          <w:tcPr>
            <w:tcW w:w="25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b/>
                <w:sz w:val="20"/>
                <w:szCs w:val="20"/>
              </w:rPr>
              <w:t>Investment value (dong)</w:t>
            </w:r>
          </w:p>
        </w:tc>
      </w:tr>
      <w:tr w:rsidR="00F6773E">
        <w:tc>
          <w:tcPr>
            <w:tcW w:w="6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sz w:val="20"/>
                <w:szCs w:val="20"/>
              </w:rPr>
              <w:t>- To invest in fixed asset (machine, housing, architecting products…)</w:t>
            </w:r>
          </w:p>
        </w:tc>
        <w:tc>
          <w:tcPr>
            <w:tcW w:w="25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9369A" w:rsidRPr="00D9369A" w:rsidRDefault="00285A20">
            <w:pPr>
              <w:pStyle w:val="normal0"/>
              <w:spacing w:before="200"/>
              <w:jc w:val="both"/>
              <w:rPr>
                <w:sz w:val="20"/>
                <w:szCs w:val="20"/>
              </w:rPr>
            </w:pPr>
            <w:r>
              <w:rPr>
                <w:sz w:val="20"/>
                <w:szCs w:val="20"/>
              </w:rPr>
              <w:t>70,000,000,000</w:t>
            </w:r>
          </w:p>
        </w:tc>
      </w:tr>
      <w:tr w:rsidR="00F6773E">
        <w:tc>
          <w:tcPr>
            <w:tcW w:w="6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sz w:val="20"/>
                <w:szCs w:val="20"/>
              </w:rPr>
              <w:t>- To supplement to the circulating capital</w:t>
            </w:r>
          </w:p>
        </w:tc>
        <w:tc>
          <w:tcPr>
            <w:tcW w:w="25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sz w:val="20"/>
                <w:szCs w:val="20"/>
              </w:rPr>
              <w:t>28, 400,000,000</w:t>
            </w:r>
          </w:p>
        </w:tc>
      </w:tr>
      <w:tr w:rsidR="00F6773E">
        <w:tc>
          <w:tcPr>
            <w:tcW w:w="64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b/>
                <w:sz w:val="20"/>
                <w:szCs w:val="20"/>
              </w:rPr>
              <w:t>Total</w:t>
            </w:r>
          </w:p>
        </w:tc>
        <w:tc>
          <w:tcPr>
            <w:tcW w:w="25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b/>
                <w:sz w:val="20"/>
                <w:szCs w:val="20"/>
              </w:rPr>
              <w:t>98,400,000,000</w:t>
            </w:r>
          </w:p>
        </w:tc>
      </w:tr>
    </w:tbl>
    <w:p w:rsidR="00F6773E" w:rsidRDefault="00285A20">
      <w:pPr>
        <w:pStyle w:val="normal0"/>
        <w:spacing w:before="200"/>
        <w:jc w:val="both"/>
      </w:pPr>
      <w:r>
        <w:rPr>
          <w:sz w:val="20"/>
          <w:szCs w:val="20"/>
        </w:rPr>
        <w:t xml:space="preserve"> </w:t>
      </w:r>
    </w:p>
    <w:p w:rsidR="00F6773E" w:rsidRDefault="00285A20">
      <w:pPr>
        <w:pStyle w:val="normal0"/>
        <w:spacing w:before="200"/>
        <w:jc w:val="both"/>
      </w:pPr>
      <w:r>
        <w:rPr>
          <w:b/>
          <w:sz w:val="20"/>
          <w:szCs w:val="20"/>
        </w:rPr>
        <w:t xml:space="preserve">III. </w:t>
      </w:r>
      <w:r w:rsidR="00472F1F">
        <w:rPr>
          <w:b/>
          <w:sz w:val="20"/>
          <w:szCs w:val="20"/>
        </w:rPr>
        <w:t>The schedule of using the proceeds</w:t>
      </w:r>
      <w:r>
        <w:rPr>
          <w:b/>
          <w:sz w:val="20"/>
          <w:szCs w:val="20"/>
        </w:rPr>
        <w:t>:</w:t>
      </w:r>
    </w:p>
    <w:p w:rsidR="00F6773E" w:rsidRDefault="00F6773E">
      <w:pPr>
        <w:pStyle w:val="normal0"/>
        <w:spacing w:before="200"/>
        <w:jc w:val="both"/>
      </w:pPr>
    </w:p>
    <w:tbl>
      <w:tblPr>
        <w:tblStyle w:val="a0"/>
        <w:bidiVisual/>
        <w:tblW w:w="9030" w:type="dxa"/>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Layout w:type="fixed"/>
        <w:tblLook w:val="0600"/>
      </w:tblPr>
      <w:tblGrid>
        <w:gridCol w:w="6465"/>
        <w:gridCol w:w="2565"/>
      </w:tblGrid>
      <w:tr w:rsidR="00F6773E">
        <w:tc>
          <w:tcPr>
            <w:tcW w:w="6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b/>
                <w:sz w:val="20"/>
                <w:szCs w:val="20"/>
              </w:rPr>
              <w:t>Purpose</w:t>
            </w:r>
          </w:p>
        </w:tc>
        <w:tc>
          <w:tcPr>
            <w:tcW w:w="25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b/>
                <w:sz w:val="20"/>
                <w:szCs w:val="20"/>
              </w:rPr>
              <w:t>Investment value (dong)</w:t>
            </w:r>
          </w:p>
        </w:tc>
      </w:tr>
      <w:tr w:rsidR="00F6773E">
        <w:tc>
          <w:tcPr>
            <w:tcW w:w="6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sz w:val="20"/>
                <w:szCs w:val="20"/>
              </w:rPr>
              <w:t>- To invest in fixed asset, equipment for manufacturing....</w:t>
            </w:r>
          </w:p>
        </w:tc>
        <w:tc>
          <w:tcPr>
            <w:tcW w:w="25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sz w:val="20"/>
                <w:szCs w:val="20"/>
              </w:rPr>
              <w:t>15,180,039,616</w:t>
            </w:r>
          </w:p>
        </w:tc>
      </w:tr>
      <w:tr w:rsidR="00F6773E">
        <w:tc>
          <w:tcPr>
            <w:tcW w:w="6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sz w:val="20"/>
                <w:szCs w:val="20"/>
              </w:rPr>
              <w:t>- To supplement the circulating capital; serving for business purpose and scale extension</w:t>
            </w:r>
          </w:p>
        </w:tc>
        <w:tc>
          <w:tcPr>
            <w:tcW w:w="25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sz w:val="20"/>
                <w:szCs w:val="20"/>
              </w:rPr>
              <w:t>83,114,840,384</w:t>
            </w:r>
          </w:p>
        </w:tc>
      </w:tr>
      <w:tr w:rsidR="00F6773E">
        <w:tc>
          <w:tcPr>
            <w:tcW w:w="6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b/>
                <w:sz w:val="20"/>
                <w:szCs w:val="20"/>
              </w:rPr>
              <w:t>Total</w:t>
            </w:r>
          </w:p>
        </w:tc>
        <w:tc>
          <w:tcPr>
            <w:tcW w:w="25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6773E" w:rsidRDefault="00285A20">
            <w:pPr>
              <w:pStyle w:val="normal0"/>
              <w:spacing w:before="200"/>
              <w:jc w:val="both"/>
            </w:pPr>
            <w:r>
              <w:rPr>
                <w:b/>
                <w:sz w:val="20"/>
                <w:szCs w:val="20"/>
              </w:rPr>
              <w:t>98,294.880,000</w:t>
            </w:r>
          </w:p>
        </w:tc>
      </w:tr>
    </w:tbl>
    <w:p w:rsidR="00F6773E" w:rsidRDefault="00285A20">
      <w:pPr>
        <w:pStyle w:val="normal0"/>
        <w:spacing w:before="200"/>
        <w:jc w:val="both"/>
      </w:pPr>
      <w:r>
        <w:rPr>
          <w:sz w:val="20"/>
          <w:szCs w:val="20"/>
        </w:rPr>
        <w:t xml:space="preserve">Purpose: To assure enough machine and equipment for business operation plan and launch new products, </w:t>
      </w:r>
      <w:proofErr w:type="spellStart"/>
      <w:r>
        <w:rPr>
          <w:sz w:val="20"/>
          <w:szCs w:val="20"/>
        </w:rPr>
        <w:t>Vikoda</w:t>
      </w:r>
      <w:proofErr w:type="spellEnd"/>
      <w:r>
        <w:rPr>
          <w:sz w:val="20"/>
          <w:szCs w:val="20"/>
        </w:rPr>
        <w:t xml:space="preserve"> has balanced the capital and taken circulating capital from other source of the company to invest while waiting for the method of issuance. Therefore, the Board has changed the capital using purpose to assure the balance of the work forces to fit the previously scheduled investment demand of the company. The Board would inform the shareholders and ask for approval on this issue in the next General Meeting.</w:t>
      </w:r>
    </w:p>
    <w:p w:rsidR="00F6773E" w:rsidRDefault="00285A20">
      <w:pPr>
        <w:pStyle w:val="normal0"/>
        <w:spacing w:before="200"/>
        <w:jc w:val="both"/>
      </w:pPr>
      <w:r>
        <w:rPr>
          <w:sz w:val="20"/>
          <w:szCs w:val="20"/>
        </w:rPr>
        <w:t>We guarantee the accuracy of the above information and commit to obey all legal regulations of securities and securities market.</w:t>
      </w:r>
    </w:p>
    <w:sectPr w:rsidR="00F6773E" w:rsidSect="00F6773E">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20"/>
  <w:characterSpacingControl w:val="doNotCompress"/>
  <w:compat/>
  <w:rsids>
    <w:rsidRoot w:val="00F6773E"/>
    <w:rsid w:val="000A74C7"/>
    <w:rsid w:val="00285A20"/>
    <w:rsid w:val="00472F1F"/>
    <w:rsid w:val="00D9369A"/>
    <w:rsid w:val="00F67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C7"/>
  </w:style>
  <w:style w:type="paragraph" w:styleId="Heading1">
    <w:name w:val="heading 1"/>
    <w:basedOn w:val="normal0"/>
    <w:next w:val="normal0"/>
    <w:rsid w:val="00F6773E"/>
    <w:pPr>
      <w:keepNext/>
      <w:keepLines/>
      <w:spacing w:before="400" w:after="120"/>
      <w:contextualSpacing/>
      <w:outlineLvl w:val="0"/>
    </w:pPr>
    <w:rPr>
      <w:sz w:val="40"/>
      <w:szCs w:val="40"/>
    </w:rPr>
  </w:style>
  <w:style w:type="paragraph" w:styleId="Heading2">
    <w:name w:val="heading 2"/>
    <w:basedOn w:val="normal0"/>
    <w:next w:val="normal0"/>
    <w:rsid w:val="00F6773E"/>
    <w:pPr>
      <w:keepNext/>
      <w:keepLines/>
      <w:spacing w:before="360" w:after="120"/>
      <w:contextualSpacing/>
      <w:outlineLvl w:val="1"/>
    </w:pPr>
    <w:rPr>
      <w:sz w:val="32"/>
      <w:szCs w:val="32"/>
    </w:rPr>
  </w:style>
  <w:style w:type="paragraph" w:styleId="Heading3">
    <w:name w:val="heading 3"/>
    <w:basedOn w:val="normal0"/>
    <w:next w:val="normal0"/>
    <w:rsid w:val="00F6773E"/>
    <w:pPr>
      <w:keepNext/>
      <w:keepLines/>
      <w:spacing w:before="320" w:after="80"/>
      <w:contextualSpacing/>
      <w:outlineLvl w:val="2"/>
    </w:pPr>
    <w:rPr>
      <w:color w:val="434343"/>
      <w:sz w:val="28"/>
      <w:szCs w:val="28"/>
    </w:rPr>
  </w:style>
  <w:style w:type="paragraph" w:styleId="Heading4">
    <w:name w:val="heading 4"/>
    <w:basedOn w:val="normal0"/>
    <w:next w:val="normal0"/>
    <w:rsid w:val="00F6773E"/>
    <w:pPr>
      <w:keepNext/>
      <w:keepLines/>
      <w:spacing w:before="280" w:after="80"/>
      <w:contextualSpacing/>
      <w:outlineLvl w:val="3"/>
    </w:pPr>
    <w:rPr>
      <w:color w:val="666666"/>
      <w:sz w:val="24"/>
      <w:szCs w:val="24"/>
    </w:rPr>
  </w:style>
  <w:style w:type="paragraph" w:styleId="Heading5">
    <w:name w:val="heading 5"/>
    <w:basedOn w:val="normal0"/>
    <w:next w:val="normal0"/>
    <w:rsid w:val="00F6773E"/>
    <w:pPr>
      <w:keepNext/>
      <w:keepLines/>
      <w:spacing w:before="240" w:after="80"/>
      <w:contextualSpacing/>
      <w:outlineLvl w:val="4"/>
    </w:pPr>
    <w:rPr>
      <w:color w:val="666666"/>
    </w:rPr>
  </w:style>
  <w:style w:type="paragraph" w:styleId="Heading6">
    <w:name w:val="heading 6"/>
    <w:basedOn w:val="normal0"/>
    <w:next w:val="normal0"/>
    <w:rsid w:val="00F6773E"/>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6773E"/>
  </w:style>
  <w:style w:type="paragraph" w:styleId="Title">
    <w:name w:val="Title"/>
    <w:basedOn w:val="normal0"/>
    <w:next w:val="normal0"/>
    <w:rsid w:val="00F6773E"/>
    <w:pPr>
      <w:keepNext/>
      <w:keepLines/>
      <w:spacing w:after="60"/>
      <w:contextualSpacing/>
    </w:pPr>
    <w:rPr>
      <w:sz w:val="52"/>
      <w:szCs w:val="52"/>
    </w:rPr>
  </w:style>
  <w:style w:type="paragraph" w:styleId="Subtitle">
    <w:name w:val="Subtitle"/>
    <w:basedOn w:val="normal0"/>
    <w:next w:val="normal0"/>
    <w:rsid w:val="00F6773E"/>
    <w:pPr>
      <w:keepNext/>
      <w:keepLines/>
      <w:spacing w:after="320"/>
      <w:contextualSpacing/>
    </w:pPr>
    <w:rPr>
      <w:color w:val="666666"/>
      <w:sz w:val="30"/>
      <w:szCs w:val="30"/>
    </w:rPr>
  </w:style>
  <w:style w:type="table" w:customStyle="1" w:styleId="a">
    <w:basedOn w:val="TableNormal"/>
    <w:rsid w:val="00F6773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6773E"/>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2017-01-04T09:26:00Z</dcterms:created>
  <dcterms:modified xsi:type="dcterms:W3CDTF">2017-01-05T01:43:00Z</dcterms:modified>
</cp:coreProperties>
</file>